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20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年专升本羽毛球测试细则及评分标准</w:t>
      </w:r>
    </w:p>
    <w:p>
      <w:pPr>
        <w:jc w:val="both"/>
        <w:rPr>
          <w:rFonts w:hint="eastAsia" w:ascii="黑体" w:hAnsi="宋体" w:eastAsia="黑体"/>
          <w:kern w:val="0"/>
          <w:sz w:val="36"/>
          <w:szCs w:val="36"/>
          <w:lang w:val="zh-CN" w:eastAsia="zh-CN"/>
        </w:rPr>
      </w:pPr>
    </w:p>
    <w:p>
      <w:pPr>
        <w:pStyle w:val="10"/>
        <w:numPr>
          <w:ilvl w:val="0"/>
          <w:numId w:val="1"/>
        </w:numPr>
        <w:spacing w:line="395" w:lineRule="exact"/>
        <w:ind w:left="0" w:leftChars="0" w:firstLine="0" w:firstLineChars="0"/>
        <w:rPr>
          <w:rFonts w:hint="eastAsia"/>
          <w:color w:val="3CB4E7"/>
          <w:lang w:val="en-US" w:eastAsia="zh-CN"/>
        </w:rPr>
      </w:pPr>
      <w:r>
        <w:rPr>
          <w:color w:val="3CB4E7"/>
          <w:lang w:eastAsia="zh-CN"/>
        </w:rPr>
        <w:t>考核指标与所占分值</w:t>
      </w:r>
      <w:r>
        <w:rPr>
          <w:rFonts w:hint="eastAsia"/>
          <w:color w:val="3CB4E7"/>
          <w:lang w:val="en-US" w:eastAsia="zh-CN"/>
        </w:rPr>
        <w:t>(总分100分)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8"/>
        <w:tblW w:w="8239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262"/>
        <w:gridCol w:w="1995"/>
        <w:gridCol w:w="1905"/>
        <w:gridCol w:w="2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8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3257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ind w:firstLine="1080" w:firstLineChars="600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技术</w:t>
            </w:r>
          </w:p>
        </w:tc>
        <w:tc>
          <w:tcPr>
            <w:tcW w:w="412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8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26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前场技术</w:t>
            </w:r>
          </w:p>
        </w:tc>
        <w:tc>
          <w:tcPr>
            <w:tcW w:w="199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ind w:firstLine="540" w:firstLineChars="300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后场技术</w:t>
            </w:r>
          </w:p>
        </w:tc>
        <w:tc>
          <w:tcPr>
            <w:tcW w:w="19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2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8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1"/>
        </w:numPr>
        <w:spacing w:line="395" w:lineRule="exact"/>
        <w:ind w:left="0" w:leftChars="0" w:firstLine="0" w:firstLineChars="0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rPr>
          <w:rFonts w:ascii="方正宋一简体" w:hAnsi="方正宋一简体" w:eastAsia="方正宋一简体" w:cs="方正宋一简体"/>
          <w:sz w:val="21"/>
          <w:szCs w:val="21"/>
          <w:lang w:eastAsia="zh-CN"/>
        </w:rPr>
      </w:pPr>
    </w:p>
    <w:p>
      <w:pPr>
        <w:pStyle w:val="12"/>
        <w:spacing w:line="332" w:lineRule="exact"/>
        <w:ind w:left="507" w:hanging="57"/>
        <w:rPr>
          <w:rFonts w:hint="eastAsia" w:eastAsia="Arial Unicode MS"/>
          <w:sz w:val="24"/>
          <w:szCs w:val="24"/>
          <w:lang w:eastAsia="zh-CN"/>
        </w:rPr>
      </w:pPr>
      <w:r>
        <w:rPr>
          <w:color w:val="231F20"/>
          <w:sz w:val="24"/>
          <w:szCs w:val="24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一</w:t>
      </w:r>
      <w:r>
        <w:rPr>
          <w:color w:val="231F20"/>
          <w:sz w:val="24"/>
          <w:szCs w:val="24"/>
        </w:rPr>
        <w:t>）专项技术</w:t>
      </w:r>
      <w:r>
        <w:rPr>
          <w:rFonts w:hint="eastAsia"/>
          <w:color w:val="231F20"/>
          <w:sz w:val="24"/>
          <w:szCs w:val="24"/>
          <w:lang w:eastAsia="zh-CN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40分</w:t>
      </w:r>
      <w:r>
        <w:rPr>
          <w:rFonts w:hint="eastAsia"/>
          <w:color w:val="231F20"/>
          <w:sz w:val="24"/>
          <w:szCs w:val="24"/>
          <w:lang w:eastAsia="zh-CN"/>
        </w:rPr>
        <w:t>）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1．前场技术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（正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手或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反手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搓球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）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（1）考试方法：</w:t>
      </w:r>
    </w:p>
    <w:p>
      <w:pPr>
        <w:pStyle w:val="3"/>
        <w:spacing w:line="300" w:lineRule="auto"/>
        <w:ind w:left="0" w:leftChars="0" w:right="82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前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场区击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球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个球</w:t>
      </w:r>
      <w:r>
        <w:rPr>
          <w:rFonts w:hint="eastAsia" w:ascii="宋体" w:hAnsi="宋体" w:eastAsia="宋体" w:cs="宋体"/>
          <w:color w:val="231F20"/>
          <w:spacing w:val="-38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231F20"/>
          <w:spacing w:val="-13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由考评员向考生网前抛球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考生站在前发球线后上网，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运用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正手或反手搓球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技术将球击到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A或B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区域内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（共击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个球）。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如图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所示。</w:t>
      </w:r>
    </w:p>
    <w:p>
      <w:pPr>
        <w:pStyle w:val="3"/>
        <w:spacing w:line="300" w:lineRule="auto"/>
        <w:ind w:left="0" w:leftChars="0" w:right="201" w:firstLine="436" w:firstLineChars="20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考生应站在前发球线后准备，落点必须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落在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面积为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cm×1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内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，必须在测试前提前选择落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点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A、B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区域。</w:t>
      </w:r>
    </w:p>
    <w:p>
      <w:pPr>
        <w:pStyle w:val="3"/>
        <w:spacing w:line="300" w:lineRule="auto"/>
        <w:ind w:left="0" w:leftChars="0" w:right="201" w:firstLine="420" w:firstLineChars="200"/>
        <w:jc w:val="both"/>
        <w:rPr>
          <w:rFonts w:hint="default" w:ascii="宋体" w:hAnsi="宋体" w:eastAsia="宋体" w:cs="宋体"/>
          <w:color w:val="231F2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                     </w:t>
      </w:r>
    </w:p>
    <w:p>
      <w:pPr>
        <w:spacing w:before="3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hint="eastAsia"/>
          <w:position w:val="2"/>
          <w:lang w:val="en-US" w:eastAsia="zh-CN"/>
        </w:rPr>
        <w:t xml:space="preserve">                              </w:t>
      </w:r>
      <w:r>
        <w:rPr>
          <w:position w:val="2"/>
          <w:lang w:eastAsia="zh-CN"/>
        </w:rPr>
        <w:drawing>
          <wp:inline distT="0" distB="0" distL="0" distR="0">
            <wp:extent cx="1344295" cy="2653030"/>
            <wp:effectExtent l="0" t="0" r="8255" b="13970"/>
            <wp:docPr id="25" name="image14.png" descr="C:\Users\Administrator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png" descr="C:\Users\Administrator\Desktop\图片1.jpg图片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"/>
        <w:rPr>
          <w:rFonts w:ascii="方正宋一简体" w:hAnsi="方正宋一简体" w:eastAsia="方正宋一简体" w:cs="方正宋一简体"/>
          <w:sz w:val="19"/>
          <w:szCs w:val="19"/>
        </w:rPr>
      </w:pPr>
    </w:p>
    <w:p>
      <w:pPr>
        <w:spacing w:before="19"/>
        <w:ind w:left="2426" w:right="2330"/>
        <w:jc w:val="center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图 1  前场技术示意图</w:t>
      </w: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0" w:firstLineChars="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val="en-US" w:eastAsia="zh-CN"/>
        </w:rPr>
        <w:t>1、表2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。</w:t>
      </w:r>
    </w:p>
    <w:p>
      <w:pPr>
        <w:pStyle w:val="3"/>
        <w:ind w:left="2451" w:right="2542"/>
        <w:jc w:val="center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 前场技术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效果得分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评分表</w:t>
      </w:r>
    </w:p>
    <w:tbl>
      <w:tblPr>
        <w:tblStyle w:val="8"/>
        <w:tblW w:w="8326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1950"/>
        <w:gridCol w:w="6"/>
        <w:gridCol w:w="2477"/>
        <w:gridCol w:w="7"/>
        <w:gridCol w:w="1924"/>
        <w:gridCol w:w="1948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87" w:hRule="exact"/>
        </w:trPr>
        <w:tc>
          <w:tcPr>
            <w:tcW w:w="19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490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  <w:tc>
          <w:tcPr>
            <w:tcW w:w="192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95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409" w:hRule="exact"/>
        </w:trPr>
        <w:tc>
          <w:tcPr>
            <w:tcW w:w="19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490" w:type="dxa"/>
            <w:gridSpan w:val="3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10个以上（含10个）</w:t>
            </w:r>
          </w:p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92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5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79" w:hRule="exact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4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97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82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</w:tr>
    </w:tbl>
    <w:p>
      <w:pPr>
        <w:pStyle w:val="3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</w:pPr>
    </w:p>
    <w:p>
      <w:pPr>
        <w:pStyle w:val="3"/>
        <w:spacing w:before="10"/>
        <w:ind w:right="2420"/>
        <w:jc w:val="both"/>
        <w:rPr>
          <w:rFonts w:hint="default" w:ascii="宋体" w:hAnsi="宋体" w:eastAsia="宋体" w:cs="宋体"/>
          <w:color w:val="231F2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  表2   前场技术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技评评分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</w:t>
      </w: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hint="default" w:ascii="方正宋三简体" w:hAnsi="方正宋三简体" w:cs="方正宋三简体" w:eastAsiaTheme="minor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效果好。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不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效果较差。</w:t>
            </w:r>
          </w:p>
        </w:tc>
      </w:tr>
    </w:tbl>
    <w:p>
      <w:pPr>
        <w:pStyle w:val="3"/>
        <w:spacing w:before="10"/>
        <w:ind w:left="0" w:leftChars="0" w:firstLine="0" w:firstLineChars="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10"/>
        <w:ind w:left="0" w:leftChars="0"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 后场技术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正手或头顶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直线高远球）</w:t>
      </w:r>
    </w:p>
    <w:p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（1）考试方法：</w:t>
      </w:r>
    </w:p>
    <w:p>
      <w:pPr>
        <w:pStyle w:val="3"/>
        <w:spacing w:line="300" w:lineRule="auto"/>
        <w:ind w:left="0" w:leftChars="0" w:right="108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①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场区击球（共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个球）：由考评员发高远球，考生站在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场区双打后发球线前，运用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正手或头顶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高远球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将球击到指定的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C或D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区域内。如图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所示。</w:t>
      </w:r>
    </w:p>
    <w:p>
      <w:pPr>
        <w:pStyle w:val="3"/>
        <w:spacing w:line="300" w:lineRule="auto"/>
        <w:ind w:left="0" w:leftChars="0" w:right="201" w:firstLine="432" w:firstLineChars="200"/>
        <w:jc w:val="both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考生在双打后发球线前准备击球。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落点必须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落在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面积为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cm×1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内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，必须在测试前提前选择落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点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区域，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考评员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发球后考生可以选择起跳或原地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击高远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球。</w:t>
      </w: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2954655</wp:posOffset>
            </wp:positionH>
            <wp:positionV relativeFrom="paragraph">
              <wp:posOffset>104775</wp:posOffset>
            </wp:positionV>
            <wp:extent cx="1193165" cy="2269490"/>
            <wp:effectExtent l="0" t="0" r="6985" b="16510"/>
            <wp:wrapNone/>
            <wp:docPr id="491" name="图片 420" descr="C:\Users\Administrator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20" descr="C:\Users\Administrator\Desktop\图片2.jpg图片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165" cy="226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>
      <w:pPr>
        <w:tabs>
          <w:tab w:val="left" w:pos="4948"/>
        </w:tabs>
        <w:ind w:firstLine="5460" w:firstLineChars="26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图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后场技术示意图</w:t>
      </w:r>
    </w:p>
    <w:p>
      <w:pPr>
        <w:tabs>
          <w:tab w:val="left" w:pos="4948"/>
        </w:tabs>
        <w:ind w:firstLine="5460" w:firstLineChars="26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val="en-US" w:eastAsia="zh-CN"/>
        </w:rPr>
        <w:t>3、表4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。</w:t>
      </w:r>
    </w:p>
    <w:p>
      <w:pPr>
        <w:pStyle w:val="3"/>
        <w:ind w:left="2451" w:right="2542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效果得分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8"/>
        <w:tblW w:w="8326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1950"/>
        <w:gridCol w:w="6"/>
        <w:gridCol w:w="2477"/>
        <w:gridCol w:w="7"/>
        <w:gridCol w:w="1924"/>
        <w:gridCol w:w="1948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87" w:hRule="exact"/>
        </w:trPr>
        <w:tc>
          <w:tcPr>
            <w:tcW w:w="19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490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  <w:tc>
          <w:tcPr>
            <w:tcW w:w="192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95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409" w:hRule="exact"/>
        </w:trPr>
        <w:tc>
          <w:tcPr>
            <w:tcW w:w="19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490" w:type="dxa"/>
            <w:gridSpan w:val="3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10个以上（含10个）</w:t>
            </w:r>
          </w:p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92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5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79" w:hRule="exact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4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97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82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</w:tr>
    </w:tbl>
    <w:p>
      <w:pPr>
        <w:pStyle w:val="12"/>
        <w:numPr>
          <w:ilvl w:val="0"/>
          <w:numId w:val="0"/>
        </w:numPr>
        <w:rPr>
          <w:rFonts w:hint="eastAsia"/>
          <w:color w:val="231F20"/>
          <w:sz w:val="24"/>
          <w:szCs w:val="24"/>
          <w:lang w:eastAsia="zh-CN"/>
        </w:rPr>
      </w:pPr>
    </w:p>
    <w:p>
      <w:pPr>
        <w:pStyle w:val="3"/>
        <w:spacing w:before="10"/>
        <w:ind w:right="2420"/>
        <w:jc w:val="both"/>
        <w:rPr>
          <w:rFonts w:hint="default" w:ascii="宋体" w:hAnsi="宋体" w:eastAsia="宋体" w:cs="宋体"/>
          <w:color w:val="231F2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   表4  后场技术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技评评分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</w:t>
      </w: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hint="default" w:ascii="方正宋三简体" w:hAnsi="方正宋三简体" w:cs="方正宋三简体" w:eastAsiaTheme="minor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效果好。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不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效果较差。</w:t>
            </w:r>
          </w:p>
        </w:tc>
      </w:tr>
    </w:tbl>
    <w:p>
      <w:pPr>
        <w:pStyle w:val="12"/>
        <w:numPr>
          <w:ilvl w:val="0"/>
          <w:numId w:val="0"/>
        </w:numPr>
        <w:rPr>
          <w:rFonts w:hint="eastAsia"/>
          <w:color w:val="231F20"/>
          <w:sz w:val="24"/>
          <w:szCs w:val="24"/>
          <w:lang w:eastAsia="zh-CN"/>
        </w:rPr>
      </w:pPr>
    </w:p>
    <w:p>
      <w:pPr>
        <w:pStyle w:val="12"/>
        <w:numPr>
          <w:ilvl w:val="0"/>
          <w:numId w:val="0"/>
        </w:numPr>
        <w:rPr>
          <w:rFonts w:hint="eastAsia"/>
          <w:color w:val="231F20"/>
          <w:sz w:val="24"/>
          <w:szCs w:val="24"/>
          <w:lang w:eastAsia="zh-CN"/>
        </w:rPr>
      </w:pPr>
    </w:p>
    <w:p>
      <w:pPr>
        <w:pStyle w:val="12"/>
        <w:numPr>
          <w:ilvl w:val="0"/>
          <w:numId w:val="0"/>
        </w:numPr>
        <w:rPr>
          <w:rFonts w:hint="eastAsia"/>
          <w:color w:val="231F20"/>
          <w:sz w:val="24"/>
          <w:szCs w:val="24"/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（二）</w:t>
      </w:r>
      <w:r>
        <w:rPr>
          <w:color w:val="231F20"/>
          <w:sz w:val="24"/>
          <w:szCs w:val="24"/>
          <w:lang w:eastAsia="zh-CN"/>
        </w:rPr>
        <w:t>实战能力</w:t>
      </w:r>
      <w:r>
        <w:rPr>
          <w:rFonts w:hint="eastAsia"/>
          <w:color w:val="231F20"/>
          <w:sz w:val="24"/>
          <w:szCs w:val="24"/>
          <w:lang w:val="en-US" w:eastAsia="zh-CN"/>
        </w:rPr>
        <w:t>---</w:t>
      </w:r>
      <w:r>
        <w:rPr>
          <w:rFonts w:hint="eastAsia"/>
          <w:color w:val="231F20"/>
          <w:sz w:val="24"/>
          <w:szCs w:val="24"/>
          <w:lang w:eastAsia="zh-CN"/>
        </w:rPr>
        <w:t>比赛成绩</w:t>
      </w:r>
      <w:r>
        <w:rPr>
          <w:rFonts w:hint="eastAsia"/>
          <w:color w:val="231F20"/>
          <w:sz w:val="24"/>
          <w:szCs w:val="24"/>
          <w:lang w:val="en-US" w:eastAsia="zh-CN"/>
        </w:rPr>
        <w:t>(40分)</w:t>
      </w:r>
    </w:p>
    <w:p>
      <w:pPr>
        <w:pStyle w:val="12"/>
        <w:numPr>
          <w:ilvl w:val="0"/>
          <w:numId w:val="0"/>
        </w:numPr>
        <w:spacing w:line="332" w:lineRule="exact"/>
        <w:ind w:left="450" w:leftChars="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64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2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考试方法：分别组织男女考生进行比赛。赛制一局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,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分每球得分，</w:t>
      </w:r>
      <w:bookmarkStart w:id="0" w:name="_GoBack"/>
      <w:bookmarkEnd w:id="0"/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分交换场地，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14平后需赢2分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才能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获胜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(最高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21分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)。</w:t>
      </w:r>
    </w:p>
    <w:p>
      <w:pPr>
        <w:pStyle w:val="3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(1)6人（含）以内进行单循环赛，决出全部名次。考生的上场顺序由抽签决定。</w:t>
      </w:r>
    </w:p>
    <w:p>
      <w:pPr>
        <w:pStyle w:val="3"/>
        <w:spacing w:line="300" w:lineRule="auto"/>
        <w:ind w:left="0" w:leftChars="0" w:right="65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(2)6人以上采用阶段赛方法，第一阶段分组循环赛，第二阶段淘汰赛。 第一阶段：7至12人分为两组，12人以上分为四组。</w:t>
      </w:r>
    </w:p>
    <w:p>
      <w:pPr>
        <w:pStyle w:val="3"/>
        <w:spacing w:before="16" w:line="292" w:lineRule="auto"/>
        <w:ind w:left="0" w:leftChars="0" w:firstLine="432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分组方法：按运动技术等级高低排序，等级高者先抽签确定签位，下一级别考生的起始签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位根据上一级别签位确定。例，运动健将2人，抽签先确定1、2号签位；一级运动员3人，起始签位从3号开始，抽签确定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号签位；二级运动员起始签位从6号开始。以此类推。签位确定后，按蛇形排列方法进行分组。</w:t>
      </w:r>
    </w:p>
    <w:p>
      <w:pPr>
        <w:pStyle w:val="3"/>
        <w:spacing w:before="17" w:line="300" w:lineRule="auto"/>
        <w:ind w:left="0" w:leftChars="0" w:firstLine="424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第二阶段：7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至12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人决出小组名次后，进行交叉淘汰决出全部名次。第一组第一对阵第二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组第二。第二组第一对阵第一组第二。以此类推。12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人以上决出小组名次后，进行交叉淘汰决出全部名次。第一组第一对阵第三组第二。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第二组第一对阵第四组第二。以此类推。其他内容参照中国羽毛球协会审定的羽毛球竞赛规则执行。</w:t>
      </w:r>
    </w:p>
    <w:p>
      <w:pPr>
        <w:pStyle w:val="3"/>
        <w:spacing w:before="17" w:line="300" w:lineRule="auto"/>
        <w:ind w:left="0" w:leftChars="0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numPr>
          <w:ilvl w:val="0"/>
          <w:numId w:val="2"/>
        </w:numPr>
        <w:spacing w:before="17" w:line="300" w:lineRule="auto"/>
        <w:ind w:left="0" w:leftChars="0" w:firstLine="420" w:firstLineChars="200"/>
        <w:rPr>
          <w:rFonts w:ascii="方正宋一简体" w:hAnsi="方正宋一简体" w:eastAsia="方正宋一简体"/>
          <w:color w:val="231F20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</w:t>
      </w:r>
    </w:p>
    <w:p>
      <w:pPr>
        <w:pStyle w:val="3"/>
        <w:numPr>
          <w:ilvl w:val="0"/>
          <w:numId w:val="0"/>
        </w:numPr>
        <w:spacing w:before="17" w:line="300" w:lineRule="auto"/>
        <w:ind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比赛成绩  </w:t>
      </w:r>
      <m:oMath>
        <m:r>
          <m:rPr/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，其中N为该专项考试人数，R为比赛名次。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实战能力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---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比赛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val="en-US" w:eastAsia="zh-CN"/>
        </w:rPr>
        <w:t>技、战术技评（20分）</w:t>
      </w:r>
    </w:p>
    <w:p>
      <w:pPr>
        <w:pStyle w:val="3"/>
        <w:ind w:left="0" w:leftChars="0" w:firstLine="40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评分标准：考评员参照实战能力评分细则（表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），对考生动作的正确、协调、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>
      <w:pPr>
        <w:pStyle w:val="3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10"/>
        <w:ind w:right="2420" w:firstLine="1470" w:firstLineChars="700"/>
        <w:jc w:val="both"/>
        <w:rPr>
          <w:rFonts w:hint="default" w:ascii="方正宋三简体" w:hAnsi="方正宋三简体" w:eastAsia="方正宋三简体" w:cs="方正宋三简体"/>
          <w:sz w:val="3"/>
          <w:szCs w:val="3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5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</w:t>
      </w: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ind w:firstLine="630" w:firstLineChars="3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注：各项成绩计算到小数点后一位。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E1AE1A"/>
    <w:multiLevelType w:val="singleLevel"/>
    <w:tmpl w:val="DDE1AE1A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784A991"/>
    <w:multiLevelType w:val="singleLevel"/>
    <w:tmpl w:val="5784A99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wMjA5YzY4ZTMwYTc2YmVjNjFjMTNiYzk2ZTU4YzgifQ=="/>
  </w:docVars>
  <w:rsids>
    <w:rsidRoot w:val="00000000"/>
    <w:rsid w:val="000C77C8"/>
    <w:rsid w:val="007207B7"/>
    <w:rsid w:val="00833D64"/>
    <w:rsid w:val="00902C2A"/>
    <w:rsid w:val="016C1BD9"/>
    <w:rsid w:val="01763BCE"/>
    <w:rsid w:val="020829C9"/>
    <w:rsid w:val="02220F54"/>
    <w:rsid w:val="02353A04"/>
    <w:rsid w:val="02AE0CA7"/>
    <w:rsid w:val="02F712D3"/>
    <w:rsid w:val="03DA66DD"/>
    <w:rsid w:val="03EA3CE5"/>
    <w:rsid w:val="03F33148"/>
    <w:rsid w:val="04251A6B"/>
    <w:rsid w:val="043B2EAD"/>
    <w:rsid w:val="045F6B9B"/>
    <w:rsid w:val="049319EC"/>
    <w:rsid w:val="04F55751"/>
    <w:rsid w:val="05377B18"/>
    <w:rsid w:val="058D7738"/>
    <w:rsid w:val="05946D18"/>
    <w:rsid w:val="06041384"/>
    <w:rsid w:val="064B030F"/>
    <w:rsid w:val="068D0030"/>
    <w:rsid w:val="06BD229F"/>
    <w:rsid w:val="06D416EA"/>
    <w:rsid w:val="07A304F2"/>
    <w:rsid w:val="07E21FBD"/>
    <w:rsid w:val="081B54CF"/>
    <w:rsid w:val="086504F8"/>
    <w:rsid w:val="08670714"/>
    <w:rsid w:val="089808CE"/>
    <w:rsid w:val="09116A28"/>
    <w:rsid w:val="09D40657"/>
    <w:rsid w:val="0A252635"/>
    <w:rsid w:val="0A474359"/>
    <w:rsid w:val="0A5B6057"/>
    <w:rsid w:val="0A7B4003"/>
    <w:rsid w:val="0A9F1D46"/>
    <w:rsid w:val="0B8154D3"/>
    <w:rsid w:val="0B9335CE"/>
    <w:rsid w:val="0BCA3494"/>
    <w:rsid w:val="0BFA348E"/>
    <w:rsid w:val="0C577056"/>
    <w:rsid w:val="0C8C699B"/>
    <w:rsid w:val="0CA701B6"/>
    <w:rsid w:val="0D4A47EB"/>
    <w:rsid w:val="0DF02F5A"/>
    <w:rsid w:val="0E581448"/>
    <w:rsid w:val="0E721BC1"/>
    <w:rsid w:val="0E837ECC"/>
    <w:rsid w:val="0ECD4770"/>
    <w:rsid w:val="0F423341"/>
    <w:rsid w:val="0F6E05DA"/>
    <w:rsid w:val="0F7D081D"/>
    <w:rsid w:val="0F8F1D24"/>
    <w:rsid w:val="0FF94348"/>
    <w:rsid w:val="10433815"/>
    <w:rsid w:val="106612B1"/>
    <w:rsid w:val="116021A5"/>
    <w:rsid w:val="11DC0DD3"/>
    <w:rsid w:val="12553F89"/>
    <w:rsid w:val="12767ED2"/>
    <w:rsid w:val="1290088A"/>
    <w:rsid w:val="129F2DB5"/>
    <w:rsid w:val="14423DE3"/>
    <w:rsid w:val="14643D5A"/>
    <w:rsid w:val="14B53E1E"/>
    <w:rsid w:val="150C68CB"/>
    <w:rsid w:val="155913E5"/>
    <w:rsid w:val="162B4831"/>
    <w:rsid w:val="164C1B87"/>
    <w:rsid w:val="17397720"/>
    <w:rsid w:val="17F11DA8"/>
    <w:rsid w:val="182E0104"/>
    <w:rsid w:val="183218BE"/>
    <w:rsid w:val="18381785"/>
    <w:rsid w:val="183B0173"/>
    <w:rsid w:val="1881312C"/>
    <w:rsid w:val="18821AE5"/>
    <w:rsid w:val="188E6DCA"/>
    <w:rsid w:val="19834C82"/>
    <w:rsid w:val="199C5D44"/>
    <w:rsid w:val="19E42719"/>
    <w:rsid w:val="1A052F36"/>
    <w:rsid w:val="1B66115F"/>
    <w:rsid w:val="1B8628BE"/>
    <w:rsid w:val="1BC2272A"/>
    <w:rsid w:val="1C6B5FFE"/>
    <w:rsid w:val="1CA10E81"/>
    <w:rsid w:val="1CC655B2"/>
    <w:rsid w:val="1DFF742A"/>
    <w:rsid w:val="1E360515"/>
    <w:rsid w:val="1E6571A2"/>
    <w:rsid w:val="1E7948A6"/>
    <w:rsid w:val="1E99509E"/>
    <w:rsid w:val="1EA06DFE"/>
    <w:rsid w:val="1EC122EC"/>
    <w:rsid w:val="1ED82541"/>
    <w:rsid w:val="1F525822"/>
    <w:rsid w:val="20B63B8F"/>
    <w:rsid w:val="20C5666E"/>
    <w:rsid w:val="2108324D"/>
    <w:rsid w:val="215D7C97"/>
    <w:rsid w:val="216E6218"/>
    <w:rsid w:val="21747CD2"/>
    <w:rsid w:val="21A8437D"/>
    <w:rsid w:val="22543660"/>
    <w:rsid w:val="229677D4"/>
    <w:rsid w:val="229B4DEB"/>
    <w:rsid w:val="22C02AA3"/>
    <w:rsid w:val="23865A9B"/>
    <w:rsid w:val="2409047A"/>
    <w:rsid w:val="241E3F25"/>
    <w:rsid w:val="2429086F"/>
    <w:rsid w:val="24CC3981"/>
    <w:rsid w:val="24F904EE"/>
    <w:rsid w:val="24FE4E34"/>
    <w:rsid w:val="250255F5"/>
    <w:rsid w:val="258F5F3B"/>
    <w:rsid w:val="25D0070A"/>
    <w:rsid w:val="2601765A"/>
    <w:rsid w:val="26061115"/>
    <w:rsid w:val="261958FF"/>
    <w:rsid w:val="26526108"/>
    <w:rsid w:val="26B33DC0"/>
    <w:rsid w:val="271D3AB4"/>
    <w:rsid w:val="27566865"/>
    <w:rsid w:val="279A1B15"/>
    <w:rsid w:val="29174F76"/>
    <w:rsid w:val="294066EC"/>
    <w:rsid w:val="294A756A"/>
    <w:rsid w:val="2A336250"/>
    <w:rsid w:val="2A67567F"/>
    <w:rsid w:val="2AC704BD"/>
    <w:rsid w:val="2B0C3A0D"/>
    <w:rsid w:val="2B2478C0"/>
    <w:rsid w:val="2B2838DB"/>
    <w:rsid w:val="2B7A5A32"/>
    <w:rsid w:val="2BB63320"/>
    <w:rsid w:val="2CC87124"/>
    <w:rsid w:val="2D3B0E27"/>
    <w:rsid w:val="2D776454"/>
    <w:rsid w:val="2DDB4C35"/>
    <w:rsid w:val="2E304F81"/>
    <w:rsid w:val="2EAD79B7"/>
    <w:rsid w:val="2EF53AD4"/>
    <w:rsid w:val="2EF95717"/>
    <w:rsid w:val="2F566C69"/>
    <w:rsid w:val="2F9B5F0A"/>
    <w:rsid w:val="2FB21B3B"/>
    <w:rsid w:val="30202DD3"/>
    <w:rsid w:val="30354AD0"/>
    <w:rsid w:val="311961A0"/>
    <w:rsid w:val="3166515D"/>
    <w:rsid w:val="31DE2F46"/>
    <w:rsid w:val="31EF6F01"/>
    <w:rsid w:val="325E6002"/>
    <w:rsid w:val="327258F2"/>
    <w:rsid w:val="32D360DD"/>
    <w:rsid w:val="32E37E75"/>
    <w:rsid w:val="32F02F31"/>
    <w:rsid w:val="331A3728"/>
    <w:rsid w:val="3321133C"/>
    <w:rsid w:val="33953AD8"/>
    <w:rsid w:val="33A06705"/>
    <w:rsid w:val="341D3555"/>
    <w:rsid w:val="349D0E96"/>
    <w:rsid w:val="34B708A6"/>
    <w:rsid w:val="3502519D"/>
    <w:rsid w:val="351F18AB"/>
    <w:rsid w:val="359202CF"/>
    <w:rsid w:val="35BF4E3C"/>
    <w:rsid w:val="35CB558F"/>
    <w:rsid w:val="35E86141"/>
    <w:rsid w:val="35EB3E83"/>
    <w:rsid w:val="369C1205"/>
    <w:rsid w:val="37111AD6"/>
    <w:rsid w:val="376B702A"/>
    <w:rsid w:val="377A6635"/>
    <w:rsid w:val="380A0476"/>
    <w:rsid w:val="38DA3538"/>
    <w:rsid w:val="395979D9"/>
    <w:rsid w:val="39DC5FBD"/>
    <w:rsid w:val="3A125E82"/>
    <w:rsid w:val="3A9357F1"/>
    <w:rsid w:val="3A982D2A"/>
    <w:rsid w:val="3AA36ADA"/>
    <w:rsid w:val="3AB82406"/>
    <w:rsid w:val="3AC058DE"/>
    <w:rsid w:val="3ADF3382"/>
    <w:rsid w:val="3B0C4680"/>
    <w:rsid w:val="3B2036FB"/>
    <w:rsid w:val="3B3F3146"/>
    <w:rsid w:val="3BFF3DFB"/>
    <w:rsid w:val="3C2679C3"/>
    <w:rsid w:val="3C773BE9"/>
    <w:rsid w:val="3CCA424B"/>
    <w:rsid w:val="3D4A5933"/>
    <w:rsid w:val="3D7A6218"/>
    <w:rsid w:val="3DFC5388"/>
    <w:rsid w:val="3E554590"/>
    <w:rsid w:val="3EEC53DE"/>
    <w:rsid w:val="3EEC6CA2"/>
    <w:rsid w:val="3F036B39"/>
    <w:rsid w:val="3F147FA7"/>
    <w:rsid w:val="3FA94547"/>
    <w:rsid w:val="401B4686"/>
    <w:rsid w:val="41282A04"/>
    <w:rsid w:val="412A1D04"/>
    <w:rsid w:val="412F1803"/>
    <w:rsid w:val="41870F04"/>
    <w:rsid w:val="41D659E7"/>
    <w:rsid w:val="42114C71"/>
    <w:rsid w:val="423C5D17"/>
    <w:rsid w:val="42786A9F"/>
    <w:rsid w:val="42FC147E"/>
    <w:rsid w:val="43A0005B"/>
    <w:rsid w:val="43C070AC"/>
    <w:rsid w:val="44466E54"/>
    <w:rsid w:val="44B02520"/>
    <w:rsid w:val="44DC1567"/>
    <w:rsid w:val="452D11C3"/>
    <w:rsid w:val="457C0654"/>
    <w:rsid w:val="45F63444"/>
    <w:rsid w:val="463158E2"/>
    <w:rsid w:val="46454EEA"/>
    <w:rsid w:val="469A3487"/>
    <w:rsid w:val="46E64303"/>
    <w:rsid w:val="47961EA1"/>
    <w:rsid w:val="480716E7"/>
    <w:rsid w:val="484F5B3F"/>
    <w:rsid w:val="48BB14B4"/>
    <w:rsid w:val="49415E3C"/>
    <w:rsid w:val="49555444"/>
    <w:rsid w:val="49831FB1"/>
    <w:rsid w:val="49867CF3"/>
    <w:rsid w:val="498C00E6"/>
    <w:rsid w:val="499612EB"/>
    <w:rsid w:val="4AAD305D"/>
    <w:rsid w:val="4AE21420"/>
    <w:rsid w:val="4AFE33E3"/>
    <w:rsid w:val="4B9E7576"/>
    <w:rsid w:val="4BF8374A"/>
    <w:rsid w:val="4BF90C50"/>
    <w:rsid w:val="4C7402D7"/>
    <w:rsid w:val="4C9B5CBD"/>
    <w:rsid w:val="4D13189E"/>
    <w:rsid w:val="4D1A70D0"/>
    <w:rsid w:val="4D3143A6"/>
    <w:rsid w:val="4D8003B6"/>
    <w:rsid w:val="4DA93FB0"/>
    <w:rsid w:val="4E6B0444"/>
    <w:rsid w:val="4E7A43DC"/>
    <w:rsid w:val="4EA50C1B"/>
    <w:rsid w:val="4EFD45B3"/>
    <w:rsid w:val="4F363B51"/>
    <w:rsid w:val="4F610FE6"/>
    <w:rsid w:val="4F8107B5"/>
    <w:rsid w:val="4FD277EE"/>
    <w:rsid w:val="4FDA48F5"/>
    <w:rsid w:val="4FFC185E"/>
    <w:rsid w:val="50446212"/>
    <w:rsid w:val="504D156B"/>
    <w:rsid w:val="505B016E"/>
    <w:rsid w:val="506A211C"/>
    <w:rsid w:val="507765E7"/>
    <w:rsid w:val="509961B9"/>
    <w:rsid w:val="50A70C7B"/>
    <w:rsid w:val="51DC0DF8"/>
    <w:rsid w:val="522E717A"/>
    <w:rsid w:val="523C1897"/>
    <w:rsid w:val="52E31D12"/>
    <w:rsid w:val="541D312A"/>
    <w:rsid w:val="55284354"/>
    <w:rsid w:val="55DA73FC"/>
    <w:rsid w:val="55F561E4"/>
    <w:rsid w:val="56021A16"/>
    <w:rsid w:val="56154019"/>
    <w:rsid w:val="56301712"/>
    <w:rsid w:val="565D1DDC"/>
    <w:rsid w:val="56701B0F"/>
    <w:rsid w:val="5697353F"/>
    <w:rsid w:val="56ED13B1"/>
    <w:rsid w:val="570F50B3"/>
    <w:rsid w:val="579E2DFB"/>
    <w:rsid w:val="57CF0AB7"/>
    <w:rsid w:val="57FD07F3"/>
    <w:rsid w:val="583322C7"/>
    <w:rsid w:val="5838665C"/>
    <w:rsid w:val="584B00F8"/>
    <w:rsid w:val="58EA204C"/>
    <w:rsid w:val="59044790"/>
    <w:rsid w:val="594D6BE3"/>
    <w:rsid w:val="59722042"/>
    <w:rsid w:val="599B50E7"/>
    <w:rsid w:val="5A5665AF"/>
    <w:rsid w:val="5AAC3332"/>
    <w:rsid w:val="5AAC6006"/>
    <w:rsid w:val="5AE605F2"/>
    <w:rsid w:val="5AF80325"/>
    <w:rsid w:val="5B394AC4"/>
    <w:rsid w:val="5B7406F2"/>
    <w:rsid w:val="5CAC13C7"/>
    <w:rsid w:val="5D790D1C"/>
    <w:rsid w:val="5D9458F7"/>
    <w:rsid w:val="5DA76C3A"/>
    <w:rsid w:val="5DA9702B"/>
    <w:rsid w:val="5DB6074F"/>
    <w:rsid w:val="5E4333C7"/>
    <w:rsid w:val="5E9071F2"/>
    <w:rsid w:val="5E95311C"/>
    <w:rsid w:val="5EB75618"/>
    <w:rsid w:val="5F125E59"/>
    <w:rsid w:val="60011D20"/>
    <w:rsid w:val="600F5E2A"/>
    <w:rsid w:val="601103E2"/>
    <w:rsid w:val="60783C30"/>
    <w:rsid w:val="61581B1D"/>
    <w:rsid w:val="616703F0"/>
    <w:rsid w:val="62190896"/>
    <w:rsid w:val="62426A55"/>
    <w:rsid w:val="62C94D2E"/>
    <w:rsid w:val="62CA07F9"/>
    <w:rsid w:val="632B74E9"/>
    <w:rsid w:val="63570948"/>
    <w:rsid w:val="63A159FD"/>
    <w:rsid w:val="63BA6ABF"/>
    <w:rsid w:val="64220960"/>
    <w:rsid w:val="64C574CA"/>
    <w:rsid w:val="64D911C7"/>
    <w:rsid w:val="65295CAB"/>
    <w:rsid w:val="6546685C"/>
    <w:rsid w:val="65B33C5C"/>
    <w:rsid w:val="65F52031"/>
    <w:rsid w:val="66B75538"/>
    <w:rsid w:val="67C3705D"/>
    <w:rsid w:val="67EC1211"/>
    <w:rsid w:val="67FF0F45"/>
    <w:rsid w:val="68060525"/>
    <w:rsid w:val="68460921"/>
    <w:rsid w:val="688B75AC"/>
    <w:rsid w:val="693D1D24"/>
    <w:rsid w:val="696A599F"/>
    <w:rsid w:val="69D00DEB"/>
    <w:rsid w:val="6B39651C"/>
    <w:rsid w:val="6B412801"/>
    <w:rsid w:val="6B5415A7"/>
    <w:rsid w:val="6BC71D79"/>
    <w:rsid w:val="6BEF3667"/>
    <w:rsid w:val="6C516C23"/>
    <w:rsid w:val="6CC664D5"/>
    <w:rsid w:val="6D4B1F09"/>
    <w:rsid w:val="6E76039E"/>
    <w:rsid w:val="6F60676D"/>
    <w:rsid w:val="71445C1A"/>
    <w:rsid w:val="72DD6326"/>
    <w:rsid w:val="73117D7E"/>
    <w:rsid w:val="73A0667C"/>
    <w:rsid w:val="73BB0416"/>
    <w:rsid w:val="74052A1B"/>
    <w:rsid w:val="74A94712"/>
    <w:rsid w:val="74C16CDF"/>
    <w:rsid w:val="752B5127"/>
    <w:rsid w:val="753541F8"/>
    <w:rsid w:val="762D1373"/>
    <w:rsid w:val="764121AA"/>
    <w:rsid w:val="773C362E"/>
    <w:rsid w:val="77440722"/>
    <w:rsid w:val="77DC095A"/>
    <w:rsid w:val="78B6280F"/>
    <w:rsid w:val="78FB12B4"/>
    <w:rsid w:val="796D6E2F"/>
    <w:rsid w:val="79BD47BC"/>
    <w:rsid w:val="79E075B8"/>
    <w:rsid w:val="7A576BEB"/>
    <w:rsid w:val="7A9337FA"/>
    <w:rsid w:val="7ACE2783"/>
    <w:rsid w:val="7AE24638"/>
    <w:rsid w:val="7BA85E79"/>
    <w:rsid w:val="7BAD0F8C"/>
    <w:rsid w:val="7CCD2F68"/>
    <w:rsid w:val="7CCE77E1"/>
    <w:rsid w:val="7D4576AF"/>
    <w:rsid w:val="7DCF617C"/>
    <w:rsid w:val="7E7A711F"/>
    <w:rsid w:val="7ECA59B1"/>
    <w:rsid w:val="7F7F7BBE"/>
    <w:rsid w:val="7FE5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1631</Words>
  <Characters>1746</Characters>
  <Lines>0</Lines>
  <Paragraphs>0</Paragraphs>
  <TotalTime>0</TotalTime>
  <ScaleCrop>false</ScaleCrop>
  <LinksUpToDate>false</LinksUpToDate>
  <CharactersWithSpaces>1928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2023-03-15T00:32:00Z</cp:lastPrinted>
  <dcterms:modified xsi:type="dcterms:W3CDTF">2024-03-18T01:50:50Z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716C0B1E91C949E7BECC415D98682FDF</vt:lpwstr>
  </property>
</Properties>
</file>